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-217805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3898265</wp:posOffset>
            </wp:positionH>
            <wp:positionV relativeFrom="paragraph">
              <wp:posOffset>-599440</wp:posOffset>
            </wp:positionV>
            <wp:extent cx="56515" cy="61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636270</wp:posOffset>
            </wp:positionV>
            <wp:extent cx="6999605" cy="394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394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Shea Peter O Jr</w:t>
        </w:r>
      </w:hyperlink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Fidelity National Financial,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FNF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760" w:firstLine="4"/>
        <w:spacing w:after="0" w:line="277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36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36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4" w:space="720"/>
            <w:col w:w="3356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JACKSONVILLE FL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32204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1,071.4763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1,071.4763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14,111.5078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-1539875</wp:posOffset>
            </wp:positionV>
            <wp:extent cx="28575" cy="1545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4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Phantom stock acquired by the reporting person pursuant to the Deferred Compensation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is the economic equivalent of one share of FNF stock.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of phantom stock are payable in cash following the reporting person's termination of service as a director.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Colleen E. Haley,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-26035</wp:posOffset>
            </wp:positionV>
            <wp:extent cx="134239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-17780</wp:posOffset>
            </wp:positionV>
            <wp:extent cx="26606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-80010</wp:posOffset>
            </wp:positionV>
            <wp:extent cx="46418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9798" TargetMode="External"/><Relationship Id="rId14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2026-07-02T18:13:14Z</dcterms:created>
  <dcterms:modified xsi:type="dcterms:W3CDTF">2026-07-02T18:13:14Z</dcterms:modified>
</cp:coreProperties>
</file>